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671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71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Walker James John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TIMES SQUARE, 30TH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Nano Nuclear Energy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NNE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46,145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26.179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22,380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27.063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581,475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27.9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28,688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608,688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26.769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582,896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27.555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28.689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580,071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29.91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26.038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1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28,688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28,688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146,398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-2118995</wp:posOffset>
            </wp:positionV>
            <wp:extent cx="29210" cy="2124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issued upon exercise of certain options originally granted to the reporting person at the exercise price of $3.00 per share, which were fully vested and exercisable on June 7, 2023, with expiry on June 7, 2026. On June 3, 2026, such options were exercised.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issued upon the settlement of certain Restricted Stock Units ("RSUs") granted on June 3, 2025 under the Issuer's 2025 Equity Incentive Plan based on a value per share of $29.18, the closing price of the Issuer's common stock as reported on The Nasdaq Capital Market on June 3, 2025. On June 3, 2026, one third (1/3) of such RSUs were vested and settled.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in September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$25.7100 to $26.7000.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$26.7050 to $27.6800.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$27.7200 to $28.3750.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$26.3700 to $27.3400.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$27.3700 to $27.9400.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$28.6600 to $28.9000.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51" w:lineRule="auto"/>
        <w:tabs>
          <w:tab w:leader="none" w:pos="19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at a price of $29.9100.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/>
        <w:spacing w:after="0" w:line="251" w:lineRule="auto"/>
        <w:tabs>
          <w:tab w:leader="none" w:pos="18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$25.7100 to $26.3700.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James John Walker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/>
        <w:spacing w:after="0" w:line="332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27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1757" TargetMode="External"/><Relationship Id="rId14" Type="http://schemas.openxmlformats.org/officeDocument/2006/relationships/hyperlink" Target="http://www.sec.gov/cgi-bin/browse-edgar?action=getcompany&amp;CIK=00019238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2026-06-05T16:53:00Z</dcterms:created>
  <dcterms:modified xsi:type="dcterms:W3CDTF">2026-06-05T16:53:00Z</dcterms:modified>
</cp:coreProperties>
</file>